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r/>
            <w:r/>
          </w:p>
        </w:tc>
        <w:tc>
          <w:tcPr>
            <w:tcW w:w="5220" w:type="dxa"/>
            <w:textDirection w:val="lrTb"/>
            <w:noWrap w:val="false"/>
          </w:tcPr>
          <w:p>
            <w:pPr>
              <w:ind w:left="394"/>
              <w:jc w:val="both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394"/>
              <w:jc w:val="both"/>
            </w:pPr>
            <w:r/>
            <w:r/>
          </w:p>
          <w:p>
            <w:pPr>
              <w:ind w:left="394"/>
            </w:pPr>
            <w:r>
              <w:t xml:space="preserve">Заместитель директора</w:t>
            </w:r>
            <w:r>
              <w:t xml:space="preserve"> </w:t>
            </w:r>
            <w:r>
              <w:t xml:space="preserve">по правовому обеспечению и управлению собственностью филиала</w:t>
            </w:r>
            <w:r/>
          </w:p>
          <w:p>
            <w:pPr>
              <w:ind w:left="394"/>
            </w:pPr>
            <w:r>
              <w:t xml:space="preserve">ПАО «</w:t>
            </w:r>
            <w:r>
              <w:t xml:space="preserve">Россети</w:t>
            </w:r>
            <w:r>
              <w:t xml:space="preserve"> Урал» - «Пермэнерго»</w:t>
            </w:r>
            <w:r/>
          </w:p>
          <w:p>
            <w:pPr>
              <w:ind w:left="394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394" w:hanging="28"/>
            </w:pPr>
            <w:r>
              <w:t xml:space="preserve">__________________ </w:t>
            </w:r>
            <w:r>
              <w:t xml:space="preserve">Н.А. Хаснуллин</w:t>
            </w:r>
            <w:r/>
          </w:p>
          <w:p>
            <w:pPr>
              <w:ind w:left="394" w:hanging="28"/>
            </w:pPr>
            <w:r/>
            <w:r/>
          </w:p>
          <w:p>
            <w:pPr>
              <w:ind w:left="394"/>
              <w:tabs>
                <w:tab w:val="left" w:pos="5746" w:leader="none"/>
              </w:tabs>
            </w:pPr>
            <w:r>
              <w:t xml:space="preserve">«_____» ___________ 20</w:t>
            </w:r>
            <w:r>
              <w:t xml:space="preserve">26</w:t>
            </w:r>
            <w:r>
              <w:t xml:space="preserve"> </w:t>
            </w:r>
            <w:r>
              <w:t xml:space="preserve">г.</w:t>
            </w:r>
            <w:r/>
          </w:p>
          <w:p>
            <w:pPr>
              <w:jc w:val="right"/>
            </w:pPr>
            <w:r/>
            <w:r/>
          </w:p>
        </w:tc>
      </w:tr>
    </w:tbl>
    <w:p>
      <w:pPr>
        <w:ind w:left="1083" w:hanging="1083"/>
        <w:tabs>
          <w:tab w:val="left" w:pos="5746" w:leader="none"/>
        </w:tabs>
      </w:pPr>
      <w:r>
        <w:rPr>
          <w:b/>
        </w:rPr>
        <w:tab/>
      </w:r>
      <w:r>
        <w:rPr>
          <w:b/>
        </w:rPr>
        <w:tab/>
      </w:r>
      <w:r/>
    </w:p>
    <w:p>
      <w:pPr>
        <w:ind w:left="1083" w:hanging="1083"/>
        <w:tabs>
          <w:tab w:val="left" w:pos="5746" w:leader="none"/>
        </w:tabs>
      </w:pPr>
      <w:r>
        <w:tab/>
      </w:r>
      <w:r>
        <w:tab/>
      </w:r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3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</w:p>
    <w:p>
      <w:pPr>
        <w:pStyle w:val="9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96"/>
        <w:jc w:val="center"/>
        <w:rPr>
          <w:b/>
        </w:rPr>
      </w:pPr>
      <w:r>
        <w:rPr>
          <w:b/>
        </w:rPr>
        <w:t xml:space="preserve">для организации и проведения сравнения цен в электронной форме, участниками которого могут быть </w:t>
      </w:r>
      <w:r>
        <w:rPr>
          <w:b/>
        </w:rPr>
        <w:t xml:space="preserve">любые лица</w:t>
      </w:r>
      <w:r>
        <w:rPr>
          <w:b/>
        </w:rPr>
      </w:r>
      <w:r>
        <w:rPr>
          <w:b/>
        </w:rPr>
      </w:r>
    </w:p>
    <w:p>
      <w:pPr>
        <w:pStyle w:val="996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96"/>
        <w:jc w:val="center"/>
        <w:rPr>
          <w:b/>
        </w:rPr>
      </w:pPr>
      <w:r>
        <w:rPr>
          <w:b/>
        </w:rPr>
        <w:t xml:space="preserve">на </w:t>
      </w:r>
      <w:r>
        <w:rPr>
          <w:b/>
        </w:rPr>
        <w:t xml:space="preserve">право заключения договора</w:t>
      </w:r>
      <w:r>
        <w:rPr>
          <w:b/>
        </w:rPr>
        <w:t xml:space="preserve"> на поставку </w:t>
      </w:r>
      <w:r>
        <w:rPr>
          <w:b/>
        </w:rPr>
        <w:t xml:space="preserve">питьевой воды</w:t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Пермь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973"/>
        <w:numPr>
          <w:ilvl w:val="0"/>
          <w:numId w:val="20"/>
        </w:numPr>
        <w:ind w:left="0" w:firstLine="0"/>
        <w:jc w:val="both"/>
        <w:keepLines w:val="0"/>
        <w:keepNext w:val="0"/>
        <w:spacing w:before="0"/>
        <w:tabs>
          <w:tab w:val="left" w:pos="284" w:leader="none"/>
        </w:tabs>
        <w:rPr>
          <w:rFonts w:ascii="Times New Roman" w:hAnsi="Times New Roman" w:eastAsia="SimSun" w:cs="Times New Roman"/>
          <w:b/>
          <w:bCs/>
          <w:iCs/>
          <w:color w:val="auto"/>
        </w:rPr>
      </w:pP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Общие сведения о предмете 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сравнения цен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 в электронной форме, участниками которого могут быть 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любые лица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 (далее - закупка):</w:t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</w:p>
    <w:p>
      <w:pPr>
        <w:rPr>
          <w:rFonts w:eastAsia="SimSun"/>
        </w:rPr>
      </w:pPr>
      <w:r>
        <w:rPr>
          <w:rFonts w:eastAsia="SimSun"/>
        </w:rPr>
      </w:r>
      <w:r>
        <w:rPr>
          <w:rFonts w:eastAsia="SimSun"/>
        </w:rPr>
      </w:r>
      <w:r>
        <w:rPr>
          <w:rFonts w:eastAsia="SimSun"/>
        </w:rPr>
      </w:r>
    </w:p>
    <w:p>
      <w:pPr>
        <w:pStyle w:val="993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Предмет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</w:rPr>
      </w:pPr>
      <w:r>
        <w:t xml:space="preserve">Право заключения договор</w:t>
      </w:r>
      <w:r>
        <w:t xml:space="preserve">а</w:t>
      </w:r>
      <w:r>
        <w:t xml:space="preserve"> на поставку </w:t>
      </w:r>
      <w:r>
        <w:t xml:space="preserve">питьевой воды</w:t>
      </w:r>
      <w: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tabs>
          <w:tab w:val="left" w:pos="426" w:leader="none"/>
          <w:tab w:val="left" w:pos="8931" w:leader="none"/>
        </w:tabs>
      </w:pPr>
      <w:r/>
      <w:r/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</w:pPr>
      <w:r>
        <w:t xml:space="preserve">План закупок 2026 года</w:t>
      </w:r>
      <w:r>
        <w:t xml:space="preserve">.</w:t>
      </w:r>
      <w:r/>
    </w:p>
    <w:p>
      <w:pPr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Заказчик: </w:t>
      </w:r>
      <w:r>
        <w:t xml:space="preserve">П</w:t>
      </w:r>
      <w:r>
        <w:t xml:space="preserve">АО «</w:t>
      </w:r>
      <w:r>
        <w:t xml:space="preserve">Россети</w:t>
      </w:r>
      <w:r>
        <w:t xml:space="preserve"> Урал</w:t>
      </w:r>
      <w:r>
        <w:t xml:space="preserve">» (филиал «</w:t>
      </w:r>
      <w:r>
        <w:t xml:space="preserve">Пермэнерго</w:t>
      </w:r>
      <w:r>
        <w:t xml:space="preserve">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поставки</w:t>
      </w:r>
      <w:r>
        <w:rPr>
          <w:b/>
        </w:rPr>
        <w:t xml:space="preserve">: </w:t>
      </w:r>
      <w:r>
        <w:t xml:space="preserve">г. Пермь</w:t>
      </w:r>
      <w:r>
        <w:t xml:space="preserve">.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tbl>
      <w:tblPr>
        <w:tblW w:w="989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843"/>
        <w:gridCol w:w="2818"/>
        <w:gridCol w:w="6236"/>
      </w:tblGrid>
      <w:tr>
        <w:tblPrEx/>
        <w:trPr>
          <w:trHeight w:val="215"/>
        </w:trPr>
        <w:tc>
          <w:tcPr>
            <w:tcW w:w="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tcW w:w="281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Производственные отделения</w:t>
            </w:r>
            <w:r/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Адрес объекта</w:t>
            </w:r>
            <w:r/>
          </w:p>
        </w:tc>
      </w:tr>
      <w:tr>
        <w:tblPrEx/>
        <w:trPr>
          <w:trHeight w:val="117"/>
        </w:trPr>
        <w:tc>
          <w:tcPr>
            <w:tcW w:w="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W w:w="2818" w:type="dxa"/>
            <w:vAlign w:val="center"/>
            <w:vMerge w:val="restart"/>
            <w:textDirection w:val="lrTb"/>
            <w:noWrap w:val="false"/>
          </w:tcPr>
          <w:p>
            <w:r>
              <w:t xml:space="preserve">Пермские городские электрические сети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r>
              <w:t xml:space="preserve">г. Пермь - Управление ПО, ул. </w:t>
            </w:r>
            <w:r>
              <w:t xml:space="preserve">Камчатовская</w:t>
            </w:r>
            <w:r>
              <w:t xml:space="preserve">, 26</w:t>
            </w:r>
            <w:r/>
          </w:p>
        </w:tc>
      </w:tr>
      <w:tr>
        <w:tblPrEx/>
        <w:trPr>
          <w:trHeight w:val="117"/>
        </w:trPr>
        <w:tc>
          <w:tcPr>
            <w:tcW w:w="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r>
              <w:t xml:space="preserve">г. Пермь - Орджоникидзевский РЭС, ул. Писарева,   2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r>
              <w:t xml:space="preserve">г. Пермь - Камский РЭС, ул. Шоссе Космонавтов, 61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Восточный РЭС, ул. П. Лумумбы,8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Южный РЭС, ул. Рязанская, 118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Кировский РЭС, ул. Б. Хмельницкого, 82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Кировское отделение, ул. Автозаводская, 23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Камское отделение, ул. Ш. Космонавтов, 61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9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ТСКЭУ, ул. </w:t>
            </w:r>
            <w:r>
              <w:t xml:space="preserve">Генкеля</w:t>
            </w:r>
            <w:r>
              <w:t xml:space="preserve">, 1а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Южное отделение, ул. Не</w:t>
            </w:r>
            <w:r>
              <w:t xml:space="preserve">фтяников,13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11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Восточное отделение, ул. Металлистов,8</w:t>
            </w:r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12</w:t>
            </w:r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рем. база,  ул. </w:t>
            </w:r>
            <w:r>
              <w:t xml:space="preserve">Усольская</w:t>
            </w:r>
            <w:r>
              <w:t xml:space="preserve">, 2а</w:t>
            </w:r>
            <w:r/>
          </w:p>
        </w:tc>
      </w:tr>
    </w:tbl>
    <w:p>
      <w:pPr>
        <w:jc w:val="both"/>
        <w:tabs>
          <w:tab w:val="left" w:pos="426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pStyle w:val="993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</w:pPr>
      <w:r>
        <w:rPr>
          <w:b/>
          <w:bCs/>
        </w:rPr>
        <w:t xml:space="preserve">Срок поставки:</w:t>
      </w:r>
      <w:r>
        <w:t xml:space="preserve"> </w:t>
      </w:r>
      <w:r>
        <w:rPr>
          <w:bCs/>
        </w:rPr>
        <w:t xml:space="preserve">с 01.10.2026</w:t>
      </w:r>
      <w:r>
        <w:rPr>
          <w:bCs/>
        </w:rPr>
        <w:t xml:space="preserve"> по 30.12.2026</w:t>
      </w:r>
      <w:r>
        <w:rPr>
          <w:bCs/>
        </w:rPr>
        <w:t xml:space="preserve"> (каждой партии товара один раз в неделю)</w:t>
      </w:r>
      <w:r>
        <w:rPr>
          <w:rFonts w:eastAsia="SimSun"/>
        </w:rPr>
        <w:t xml:space="preserve">.</w:t>
      </w:r>
      <w:r/>
    </w:p>
    <w:p>
      <w:pPr>
        <w:pStyle w:val="993"/>
        <w:numPr>
          <w:ilvl w:val="2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851" w:leader="none"/>
        </w:tabs>
      </w:pPr>
      <w:r>
        <w:t xml:space="preserve">Участник закупки должен </w:t>
      </w:r>
      <w:r>
        <w:t xml:space="preserve">осуществить</w:t>
      </w:r>
      <w:r>
        <w:t xml:space="preserve"> </w:t>
      </w:r>
      <w:r>
        <w:t xml:space="preserve">поставку продукции</w:t>
      </w:r>
      <w:r>
        <w:t xml:space="preserve"> </w:t>
      </w:r>
      <w:r>
        <w:t xml:space="preserve">в требуемых объемах и </w:t>
      </w:r>
      <w:r>
        <w:t xml:space="preserve">не позднее </w:t>
      </w:r>
      <w:r>
        <w:t xml:space="preserve">сроков</w:t>
      </w:r>
      <w:r>
        <w:t xml:space="preserve">, приведенных в </w:t>
      </w:r>
      <w:r>
        <w:t xml:space="preserve">Ценовом предложении (Приложение №4</w:t>
      </w:r>
      <w:r>
        <w:t xml:space="preserve"> </w:t>
      </w:r>
      <w:r>
        <w:t xml:space="preserve">к </w:t>
      </w:r>
      <w:r>
        <w:t xml:space="preserve">Техническому заданию</w:t>
      </w:r>
      <w:r>
        <w:t xml:space="preserve">). Заявки, не обеспечивающие </w:t>
      </w:r>
      <w:r>
        <w:t xml:space="preserve">поставку продукции </w:t>
      </w:r>
      <w:r>
        <w:t xml:space="preserve">в указанные сроки, к участию в закупке не допускаются.</w:t>
      </w:r>
      <w:r/>
    </w:p>
    <w:p>
      <w:pPr>
        <w:pStyle w:val="981"/>
        <w:ind w:left="720"/>
        <w:jc w:val="both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Источник финансирования:</w:t>
      </w:r>
      <w:r>
        <w:t xml:space="preserve"> </w:t>
      </w:r>
      <w:r>
        <w:t xml:space="preserve">себестоимость.</w:t>
      </w:r>
      <w:r/>
    </w:p>
    <w:p>
      <w:pPr>
        <w:numPr>
          <w:ilvl w:val="1"/>
          <w:numId w:val="20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закупка/лот (</w:t>
            </w:r>
            <w:r>
              <w:rPr>
                <w:sz w:val="20"/>
                <w:szCs w:val="20"/>
                <w:lang w:val="en-US"/>
              </w:rPr>
              <w:t xml:space="preserve">ID</w:t>
            </w:r>
            <w:r>
              <w:rPr>
                <w:sz w:val="20"/>
                <w:szCs w:val="20"/>
              </w:rPr>
              <w:t xml:space="preserve"> заявки)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т.ч</w:t>
            </w:r>
            <w:r>
              <w:rPr>
                <w:sz w:val="20"/>
                <w:szCs w:val="20"/>
              </w:rPr>
              <w:t xml:space="preserve">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62002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>
              <w:rPr>
                <w:sz w:val="20"/>
                <w:szCs w:val="20"/>
              </w:rPr>
              <w:t xml:space="preserve">питьевой воды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265 077,53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11.07.11.120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num" w:pos="0" w:leader="none"/>
        </w:tabs>
      </w:pPr>
      <w:r>
        <w:tab/>
      </w:r>
      <w:r>
        <w:t xml:space="preserve">Начальная (максимальная) ц</w:t>
      </w:r>
      <w: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/>
    </w:p>
    <w:p>
      <w:pPr>
        <w:ind w:firstLine="709"/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Цена договора установлена в размере максимальной (предельной) стоимости закупки и составляет 265 077 (двести шестьдесят пять тысяч семьдесят семь) рублей 53 копейки с НДС.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Превышение цены за единицу продукции согласно Приложению №1.1. – Расчет НМЦ (Единичные расценки) к Техническому заданию не допускается.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Цена договора, предлагаемая участником закупки, не может превышать и быть ниже начальной (максимальной) цены договора, указанной в пункте 1.7 Технического задания.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12"/>
        <w:ind w:left="0" w:right="0" w:firstLine="709"/>
        <w:spacing w:after="0" w:line="240" w:lineRule="auto"/>
        <w:rPr>
          <w:szCs w:val="24"/>
          <w:highlight w:val="none"/>
        </w:rPr>
      </w:pPr>
      <w:r>
        <w:rPr>
          <w:szCs w:val="24"/>
          <w:highlight w:val="none"/>
        </w:rPr>
        <w:t xml:space="preserve">Стоимость единичных расценок по каждому виду </w:t>
      </w:r>
      <w:r>
        <w:rPr>
          <w:szCs w:val="24"/>
          <w:highlight w:val="none"/>
        </w:rPr>
        <w:t xml:space="preserve">продукции</w:t>
      </w:r>
      <w:r>
        <w:rPr>
          <w:szCs w:val="24"/>
          <w:highlight w:val="none"/>
        </w:rPr>
        <w:t xml:space="preserve"> не должна превышать максимальную стоимость единичных расценок заказчика, приведенных в Таблице 1: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1012"/>
        <w:ind w:left="0" w:right="0" w:firstLine="0"/>
        <w:jc w:val="right"/>
        <w:spacing w:after="200" w:line="276" w:lineRule="auto"/>
        <w:rPr>
          <w:sz w:val="22"/>
          <w:szCs w:val="22"/>
          <w:highlight w:val="none"/>
        </w:rPr>
      </w:pPr>
      <w:r>
        <w:rPr>
          <w:sz w:val="22"/>
          <w:szCs w:val="24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12"/>
        <w:ind w:left="0" w:right="0" w:firstLine="0"/>
        <w:jc w:val="right"/>
        <w:spacing w:after="200" w:line="276" w:lineRule="auto"/>
        <w:rPr>
          <w:sz w:val="22"/>
          <w:szCs w:val="22"/>
          <w:highlight w:val="none"/>
        </w:rPr>
      </w:pPr>
      <w:r>
        <w:rPr>
          <w:sz w:val="22"/>
          <w:szCs w:val="24"/>
          <w:highlight w:val="none"/>
        </w:rPr>
        <w:t xml:space="preserve">Таблица 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929"/>
        <w:gridCol w:w="1560"/>
        <w:gridCol w:w="2583"/>
      </w:tblGrid>
      <w:tr>
        <w:tblPrEx/>
        <w:trPr>
          <w:trHeight w:val="46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№ п/п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Наименование продукции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Единичный показатель 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Максимальная стоимость единичной </w:t>
            </w:r>
            <w:r>
              <w:rPr>
                <w:b/>
                <w:bCs/>
                <w:sz w:val="18"/>
                <w:szCs w:val="16"/>
                <w:highlight w:val="none"/>
              </w:rPr>
              <w:t xml:space="preserve">расценки Заказчика (руб.) с</w:t>
            </w:r>
            <w:r>
              <w:rPr>
                <w:b/>
                <w:bCs/>
                <w:sz w:val="18"/>
                <w:szCs w:val="16"/>
                <w:highlight w:val="none"/>
              </w:rPr>
              <w:t xml:space="preserve"> НДС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</w:tr>
      <w:tr>
        <w:tblPrEx/>
        <w:trPr>
          <w:trHeight w:val="1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 1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Вода питьевая 19 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БУТ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165,00</w:t>
            </w:r>
            <w:r/>
          </w:p>
        </w:tc>
      </w:tr>
      <w:tr>
        <w:tblPrEx/>
        <w:trPr>
          <w:trHeight w:val="1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</w:tr>
      <w:tr>
        <w:tblPrEx/>
        <w:trPr>
          <w:trHeight w:val="155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  <w:t xml:space="preserve">Суммарная стоимость единичных расценок: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  <w:t xml:space="preserve">165,00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</w:pPr>
      <w:r/>
      <w:r/>
    </w:p>
    <w:p>
      <w:pPr>
        <w:pStyle w:val="993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</w:pPr>
      <w:r>
        <w:rPr>
          <w:b/>
        </w:rPr>
        <w:t xml:space="preserve">Условия оплаты:</w:t>
      </w:r>
      <w:r/>
    </w:p>
    <w:p>
      <w:pPr>
        <w:jc w:val="both"/>
        <w:widowControl w:val="off"/>
        <w:tabs>
          <w:tab w:val="num" w:pos="0" w:leader="none"/>
        </w:tabs>
      </w:pPr>
      <w:r>
        <w:t xml:space="preserve">Оплата производится за продукцию</w:t>
      </w:r>
      <w:bookmarkStart w:id="0" w:name="_GoBack"/>
      <w:r/>
      <w:bookmarkEnd w:id="0"/>
      <w:r>
        <w:t xml:space="preserve"> по безналичному расчету путем перечисления денежных средств на расчетный счет Поставщика в течение </w:t>
      </w:r>
      <w:r>
        <w:t xml:space="preserve">30</w:t>
      </w:r>
      <w:r>
        <w:t xml:space="preserve"> (</w:t>
      </w:r>
      <w:r>
        <w:t xml:space="preserve">тридцати</w:t>
      </w:r>
      <w:r>
        <w:t xml:space="preserve">)</w:t>
      </w:r>
      <w:r>
        <w:t xml:space="preserve"> рабочих</w:t>
      </w:r>
      <w:r>
        <w:t xml:space="preserve"> дней</w:t>
      </w:r>
      <w:r>
        <w:rPr>
          <w:rStyle w:val="1017"/>
        </w:rPr>
        <w:footnoteReference w:id="2"/>
      </w:r>
      <w:r>
        <w:t xml:space="preserve">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</w:t>
      </w:r>
      <w:r>
        <w:t xml:space="preserve">2.4</w:t>
      </w:r>
      <w:r>
        <w:t xml:space="preserve"> Договора (Приложение №2 к настоящему ТЗ)</w:t>
      </w:r>
      <w:r>
        <w:t xml:space="preserve">.</w:t>
      </w:r>
      <w:r/>
    </w:p>
    <w:p>
      <w:pPr>
        <w:jc w:val="both"/>
        <w:widowControl w:val="off"/>
        <w:tabs>
          <w:tab w:val="num" w:pos="0" w:leader="none"/>
        </w:tabs>
      </w:pPr>
      <w:r/>
      <w:r/>
    </w:p>
    <w:p>
      <w:pPr>
        <w:pStyle w:val="981"/>
        <w:numPr>
          <w:ilvl w:val="1"/>
          <w:numId w:val="20"/>
        </w:num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Требования, предъявляемые к поставке продукции: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</w:pPr>
      <w: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t xml:space="preserve">4</w:t>
      </w:r>
      <w:r>
        <w:t xml:space="preserve"> к настоящему ТЗ</w:t>
      </w:r>
      <w: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/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</w:pPr>
      <w:r>
        <w:t xml:space="preserve">Поставляемая продукция должна быть упакована соответственно данному виду продукции, </w:t>
      </w:r>
      <w:r>
        <w:t xml:space="preserve">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t xml:space="preserve">4</w:t>
      </w:r>
      <w:r>
        <w:t xml:space="preserve"> к настоящему ТЗ </w:t>
      </w:r>
      <w:r>
        <w:t xml:space="preserve">в производственные отделения филиалов </w:t>
      </w:r>
      <w:r>
        <w:t xml:space="preserve">П</w:t>
      </w:r>
      <w:r>
        <w:t xml:space="preserve">АО «</w:t>
      </w:r>
      <w:r>
        <w:t xml:space="preserve">Россети</w:t>
      </w:r>
      <w:r>
        <w:t xml:space="preserve"> Урал</w:t>
      </w:r>
      <w:r>
        <w:t xml:space="preserve">», согласно реквизитов Грузополучателей, указанных в приложении №</w:t>
      </w:r>
      <w:r>
        <w:t xml:space="preserve">3</w:t>
      </w:r>
      <w:r>
        <w:t xml:space="preserve"> к настоящему ТЗ, в установленные сроки. </w:t>
      </w:r>
      <w:r/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</w:pPr>
      <w: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/>
    </w:p>
    <w:p>
      <w:pPr>
        <w:pStyle w:val="993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</w:rPr>
      </w:pPr>
      <w:r>
        <w:rPr>
          <w:b/>
        </w:rPr>
        <w:t xml:space="preserve">Требования, предъявляемые к продукции:</w:t>
      </w:r>
      <w:r>
        <w:rPr>
          <w:b/>
        </w:rPr>
      </w:r>
      <w:r>
        <w:rPr>
          <w:b/>
        </w:rPr>
      </w:r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 </w:t>
      </w:r>
      <w:r>
        <w:t xml:space="preserve">Продукция, указанная в </w:t>
      </w:r>
      <w:r>
        <w:t xml:space="preserve">п</w:t>
      </w:r>
      <w:r>
        <w:t xml:space="preserve">риложении </w:t>
      </w:r>
      <w:r>
        <w:t xml:space="preserve">№</w:t>
      </w:r>
      <w:r>
        <w:t xml:space="preserve">4</w:t>
      </w:r>
      <w:r>
        <w:t xml:space="preserve"> к настоящему ТЗ </w:t>
      </w:r>
      <w:r>
        <w:t xml:space="preserve">по качеству должна соответствовать требованиям ГОСТ и ТУ, иметь сертификаты соответствия качества</w:t>
      </w:r>
      <w: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/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t xml:space="preserve">№</w:t>
      </w:r>
      <w:r>
        <w:t xml:space="preserve">4</w:t>
      </w:r>
      <w:r>
        <w:t xml:space="preserve"> к настоящему ТЗ </w:t>
      </w:r>
      <w:r>
        <w:rPr>
          <w:rFonts w:eastAsia="Calibri"/>
          <w:lang w:eastAsia="en-US"/>
        </w:rPr>
        <w:t xml:space="preserve">(при условии их наличия в ТЗ)</w:t>
      </w:r>
      <w:r>
        <w:t xml:space="preserve">.</w:t>
      </w:r>
      <w:r/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Участник имеет пр</w:t>
      </w:r>
      <w: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t xml:space="preserve"> (при их наличии)</w:t>
      </w:r>
      <w:r>
        <w:t xml:space="preserve">. </w:t>
      </w:r>
      <w:r>
        <w:t xml:space="preserve">Решение о согласовании/не согласовании замены 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/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/>
    </w:p>
    <w:p>
      <w:pPr>
        <w:pStyle w:val="993"/>
        <w:ind w:left="0"/>
        <w:jc w:val="both"/>
        <w:widowControl w:val="off"/>
        <w:tabs>
          <w:tab w:val="left" w:pos="567" w:leader="none"/>
        </w:tabs>
      </w:pPr>
      <w: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/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Продукция должна быть новой (ранее не использованной). </w:t>
      </w:r>
      <w:r>
        <w:t xml:space="preserve">Гарантийный срок на поставляемую продукцию</w:t>
      </w:r>
      <w:r>
        <w:t xml:space="preserve"> </w:t>
      </w:r>
      <w:r>
        <w:t xml:space="preserve">составляет</w:t>
      </w:r>
      <w:r>
        <w:rPr>
          <w:lang w:val="ru-RU"/>
        </w:rPr>
        <w:t xml:space="preserve"> </w:t>
      </w:r>
      <w:r>
        <w:t xml:space="preserve">180 суток (6 месяцев) и исчисляется с момента доставки продукции на склад Покупателя (Грузополучателя). </w:t>
      </w:r>
      <w:r>
        <w:t xml:space="preserve">Срок изготовления первой партии продукции не ранее сентября </w:t>
      </w:r>
      <w:r>
        <w:t xml:space="preserve">2026</w:t>
      </w:r>
      <w:r>
        <w:t xml:space="preserve"> года.</w:t>
      </w:r>
      <w:r/>
    </w:p>
    <w:p>
      <w:pPr>
        <w:pStyle w:val="993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Технические требования к продукции:</w:t>
      </w:r>
      <w:r/>
    </w:p>
    <w:p>
      <w:pPr>
        <w:pStyle w:val="993"/>
        <w:numPr>
          <w:ilvl w:val="3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Продукция должна соответствовать государственным санитарно-эпидемиологическим пра</w:t>
      </w:r>
      <w:r>
        <w:t xml:space="preserve">вилам и нормам СанПиН 2.1.4.1116-02 «Питьевая вода. Гигиенические требования к качеству воды, расфасованной в емкости. Контроль качества», СП 1.1.1058-01 «Организация и проведение производственного контроля за соблюдением санитарных правил санитарно-эпидем</w:t>
      </w:r>
      <w:r>
        <w:t xml:space="preserve">иологических (профилактических) мероприятий», ТР ТС 021/2011 «О безопасности пищевой продукции», ТР ТС 022/2011 «Пищевая продукция в части ее маркировки», соответствовать всем показателям безопасности требованиям, ГОСТ, ТУ и иметь сертификаты соответствия.</w:t>
      </w:r>
      <w:r/>
    </w:p>
    <w:p>
      <w:pPr>
        <w:pStyle w:val="993"/>
        <w:numPr>
          <w:ilvl w:val="3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Одновременно с продукцией предоставляются сопроводительные документы, подтверж</w:t>
      </w:r>
      <w:r>
        <w:t xml:space="preserve">дающие с</w:t>
      </w:r>
      <w:r>
        <w:t xml:space="preserve">оответствие продукции требованиям Покупателя (т.е. сертификаты Госстандарта России, санитарно-эпидемиологические сертификаты в случае, если продукция подлежит сертификации). Первая партия поставляемой воды должна быть разлита в тару не ранее чем в сентябре</w:t>
      </w:r>
      <w:r>
        <w:t xml:space="preserve"> 2026</w:t>
      </w:r>
      <w:r>
        <w:t xml:space="preserve"> </w:t>
      </w:r>
      <w:r>
        <w:t xml:space="preserve">года</w:t>
      </w:r>
      <w:r>
        <w:t xml:space="preserve">. Каждая следующая партия должна быть разлита в тару не ранее чем за 30 дней до даты отгрузки.</w:t>
      </w:r>
      <w:r/>
    </w:p>
    <w:p>
      <w:pPr>
        <w:pStyle w:val="993"/>
        <w:numPr>
          <w:ilvl w:val="3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Продукция должна поставляться в многооборотной таре – бутылях, изготовленных из полиэтилена (ГОСТ Р 51760-2011) емкостью 19л, пробка одноразовая, из пищевого полиэтилена. На упаковке должна быть указана дата розлива воды. </w:t>
      </w:r>
      <w:r>
        <w:t xml:space="preserve">Бутыли подлежат возврату Поставщику по мере их освобождения от воды в первоначальном состоянии с учетом их нормального износа</w:t>
      </w:r>
      <w:r>
        <w:t xml:space="preserve">.</w:t>
      </w:r>
      <w:r/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003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/>
      <w:bookmarkStart w:id="1" w:name="_Toc439063131"/>
      <w:r/>
      <w:bookmarkStart w:id="2" w:name="_Toc8120154"/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1004"/>
        <w:numPr>
          <w:ilvl w:val="1"/>
          <w:numId w:val="20"/>
        </w:numPr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1005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highlight w:val="none"/>
          <w:lang w:eastAsia="ja-JP"/>
        </w:rPr>
        <w:t xml:space="preserve">2.1.1. </w:t>
      </w:r>
      <w:r>
        <w:rPr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</w:t>
      </w:r>
      <w:r>
        <w:rPr>
          <w:highlight w:val="none"/>
          <w:lang w:eastAsia="ja-JP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</w:t>
      </w:r>
      <w:r>
        <w:rPr>
          <w:highlight w:val="none"/>
        </w:rPr>
        <w:t xml:space="preserve">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05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2.1.2. 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05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lang w:eastAsia="ja-JP"/>
        </w:rPr>
      </w:pPr>
      <w:r>
        <w:rPr>
          <w:highlight w:val="none"/>
        </w:rPr>
        <w:t xml:space="preserve">2.1.3. 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т.ч. субъекты малого и среднего предпринимательства.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1005"/>
        <w:numPr>
          <w:ilvl w:val="0"/>
          <w:numId w:val="0"/>
        </w:numPr>
        <w:contextualSpacing/>
        <w:tabs>
          <w:tab w:val="left" w:pos="709" w:leader="none"/>
        </w:tabs>
      </w:pPr>
      <w:r/>
      <w:r/>
    </w:p>
    <w:p>
      <w:pPr>
        <w:pStyle w:val="1003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1005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Приложение №4 к Техническому заданию участника в формате </w:t>
      </w:r>
      <w:r>
        <w:rPr>
          <w:rFonts w:eastAsia="Calibri"/>
          <w:szCs w:val="24"/>
          <w:lang w:eastAsia="en-US"/>
        </w:rPr>
        <w:t xml:space="preserve">excel</w:t>
      </w:r>
      <w:r>
        <w:rPr>
          <w:rFonts w:eastAsia="Calibri"/>
          <w:szCs w:val="24"/>
          <w:lang w:eastAsia="en-US"/>
        </w:rPr>
        <w:t xml:space="preserve">, заполненное в соответствии с инструкцией по заполнению: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</w:r>
      <w:r>
        <w:rPr>
          <w:highlight w:val="none"/>
          <w:lang w:val="ru-RU"/>
        </w:rPr>
        <w:t xml:space="preserve">В столбце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rFonts w:eastAsia="Calibri"/>
          <w:szCs w:val="24"/>
          <w:lang w:eastAsia="en-US"/>
        </w:rP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highlight w:val="none"/>
          <w:lang w:eastAsia="en-US"/>
        </w:rPr>
        <w:t xml:space="preserve">В столбце «Наименование производителя, ИНН» указывается только 1 (один) </w:t>
      </w:r>
      <w:r>
        <w:rPr>
          <w:rFonts w:eastAsia="Calibri"/>
          <w:highlight w:val="none"/>
          <w:lang w:eastAsia="en-US"/>
        </w:rPr>
        <w:t xml:space="preserve">производите</w:t>
      </w:r>
      <w:r>
        <w:rPr>
          <w:rFonts w:eastAsia="Calibri"/>
          <w:highlight w:val="none"/>
          <w:lang w:eastAsia="en-US"/>
        </w:rPr>
        <w:t xml:space="preserve">ль продукции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highlight w:val="none"/>
          <w:lang w:eastAsia="en-US"/>
        </w:rPr>
        <w:t xml:space="preserve">В столбце «ГОСТ, технический регламент, Техусловия (ТУ) на изготовление» Участником указывается конкретный «ГОСТ, технический регламент, Технические условия (ТУ) на изготовление» по каждой номенклатурной позиции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highlight w:val="none"/>
          <w:lang w:eastAsia="en-US"/>
        </w:rPr>
        <w:t xml:space="preserve">В случае нарушения требований инструкции по заполнению (пп.3.1.1-</w:t>
      </w:r>
      <w:r>
        <w:rPr>
          <w:rFonts w:eastAsia="Calibri"/>
          <w:highlight w:val="none"/>
          <w:lang w:eastAsia="en-US"/>
        </w:rPr>
        <w:t xml:space="preserve">3.1.8</w:t>
      </w:r>
      <w:r>
        <w:rPr>
          <w:rFonts w:eastAsia="Calibri"/>
          <w:highlight w:val="none"/>
          <w:lang w:eastAsia="en-US"/>
        </w:rPr>
        <w:t xml:space="preserve"> настоящего приложения) заявка подлежит обязательному отклонению</w:t>
      </w:r>
      <w: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lang w:eastAsia="en-US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  <w:t xml:space="preserve">Информация, указанная в Приложении № 4 к Техническому заданию </w:t>
      </w:r>
      <w:r>
        <w:rPr>
          <w:rFonts w:eastAsia="Calibri"/>
          <w:highlight w:val="none"/>
          <w:lang w:eastAsia="en-US"/>
        </w:rPr>
        <w:t xml:space="preserve">изменен</w:t>
      </w:r>
      <w:r>
        <w:rPr>
          <w:rFonts w:eastAsia="Calibri"/>
          <w:highlight w:val="none"/>
          <w:lang w:eastAsia="en-US"/>
        </w:rPr>
        <w:t xml:space="preserve">ию</w:t>
      </w:r>
      <w:r>
        <w:rPr>
          <w:rFonts w:eastAsia="Calibri"/>
          <w:highlight w:val="none"/>
          <w:lang w:eastAsia="en-US"/>
        </w:rPr>
        <w:t xml:space="preserve"> не подлежит.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05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lang w:eastAsia="en-US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highlight w:val="none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highlight w:val="none"/>
          <w:lang w:eastAsia="en-US"/>
        </w:rPr>
        <w:t xml:space="preserve"> 4 к Техническому заданию</w:t>
      </w:r>
      <w:r>
        <w:rPr>
          <w:highlight w:val="none"/>
        </w:rPr>
        <w:t xml:space="preserve">, не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93"/>
        <w:numPr>
          <w:ilvl w:val="0"/>
          <w:numId w:val="20"/>
        </w:numPr>
        <w:ind w:left="0" w:firstLine="0"/>
        <w:keepLines/>
        <w:spacing w:before="120" w:after="120"/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87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Единственным критерием для определения Победителя является наименьшая суммарная стоимость единичных расценок при условии соответствия самой заявки условиям сравнения цен.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987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а) при рассмот</w:t>
      </w:r>
      <w:r>
        <w:rPr>
          <w:rFonts w:eastAsia="Calibri"/>
          <w:lang w:eastAsia="en-US"/>
        </w:rPr>
        <w:t xml:space="preserve">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поставке товар </w:t>
      </w:r>
      <w:r>
        <w:rPr>
          <w:rFonts w:eastAsia="Calibri"/>
          <w:lang w:eastAsia="en-US"/>
        </w:rPr>
        <w:t xml:space="preserve">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87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both"/>
        <w:rPr>
          <w:rStyle w:val="1002"/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</w:r>
      <w:r>
        <w:rPr>
          <w:rStyle w:val="1002"/>
          <w:rFonts w:ascii="Times New Roman" w:hAnsi="Times New Roman" w:cs="Times New Roman"/>
          <w:b/>
          <w:i/>
          <w:color w:val="auto"/>
        </w:rPr>
      </w:r>
      <w:r>
        <w:rPr>
          <w:rStyle w:val="1002"/>
          <w:rFonts w:ascii="Times New Roman" w:hAnsi="Times New Roman" w:cs="Times New Roman"/>
          <w:b/>
          <w:i/>
          <w:color w:val="auto"/>
        </w:rPr>
      </w:r>
    </w:p>
    <w:p>
      <w:pPr>
        <w:pStyle w:val="993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1002"/>
          <w:rFonts w:ascii="Times New Roman" w:hAnsi="Times New Roman" w:cs="Times New Roman"/>
          <w:b/>
          <w:i/>
          <w:color w:val="auto"/>
        </w:rPr>
        <w:t xml:space="preserve">Приложение 1 (</w:t>
      </w:r>
      <w:r>
        <w:rPr>
          <w:rStyle w:val="1002"/>
          <w:rFonts w:ascii="Times New Roman" w:hAnsi="Times New Roman" w:cs="Times New Roman"/>
          <w:i/>
          <w:color w:val="auto"/>
        </w:rPr>
        <w:t xml:space="preserve">обязательное</w:t>
      </w:r>
      <w:bookmarkEnd w:id="1"/>
      <w:r/>
      <w:bookmarkEnd w:id="2"/>
      <w:r>
        <w:rPr>
          <w:rStyle w:val="1002"/>
          <w:rFonts w:ascii="Times New Roman" w:hAnsi="Times New Roman" w:cs="Times New Roman"/>
          <w:i/>
          <w:color w:val="auto"/>
        </w:rPr>
        <w:t xml:space="preserve">). </w:t>
      </w:r>
      <w:r>
        <w:t xml:space="preserve"> </w:t>
      </w:r>
      <w:r>
        <w:t xml:space="preserve">Обоснование начальной (максимальной) цены договора (форма).</w:t>
      </w:r>
      <w:r/>
    </w:p>
    <w:p>
      <w:pPr>
        <w:jc w:val="both"/>
      </w:pPr>
      <w:r/>
      <w:bookmarkStart w:id="3" w:name="_Toc8120155"/>
      <w:r>
        <w:rPr>
          <w:rStyle w:val="1002"/>
          <w:rFonts w:ascii="Times New Roman" w:hAnsi="Times New Roman" w:cs="Times New Roman"/>
          <w:b/>
          <w:i/>
          <w:color w:val="auto"/>
        </w:rPr>
        <w:t xml:space="preserve">Приложение 2</w:t>
      </w:r>
      <w:r>
        <w:rPr>
          <w:rStyle w:val="1002"/>
          <w:rFonts w:ascii="Times New Roman" w:hAnsi="Times New Roman" w:cs="Times New Roman"/>
          <w:i/>
          <w:color w:val="auto"/>
        </w:rPr>
        <w:t xml:space="preserve"> </w:t>
      </w:r>
      <w:r>
        <w:rPr>
          <w:rStyle w:val="1002"/>
          <w:rFonts w:ascii="Times New Roman" w:hAnsi="Times New Roman" w:cs="Times New Roman"/>
          <w:b/>
          <w:i/>
          <w:color w:val="auto"/>
        </w:rPr>
        <w:t xml:space="preserve">(</w:t>
      </w:r>
      <w:r>
        <w:rPr>
          <w:rStyle w:val="1002"/>
          <w:rFonts w:ascii="Times New Roman" w:hAnsi="Times New Roman" w:cs="Times New Roman"/>
          <w:i/>
          <w:color w:val="auto"/>
        </w:rPr>
        <w:t xml:space="preserve">обязательное). </w:t>
      </w:r>
      <w:bookmarkEnd w:id="3"/>
      <w:r>
        <w:t xml:space="preserve">Проект договора (форма). </w:t>
      </w:r>
      <w:r/>
    </w:p>
    <w:p>
      <w:pPr>
        <w:pStyle w:val="993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1002"/>
          <w:rFonts w:ascii="Times New Roman" w:hAnsi="Times New Roman" w:cs="Times New Roman"/>
          <w:b/>
          <w:i/>
          <w:color w:val="auto"/>
        </w:rPr>
        <w:t xml:space="preserve">Приложение 3 </w:t>
      </w:r>
      <w:r>
        <w:rPr>
          <w:rStyle w:val="1002"/>
          <w:rFonts w:ascii="Times New Roman" w:hAnsi="Times New Roman" w:cs="Times New Roman"/>
          <w:i/>
          <w:color w:val="auto"/>
        </w:rPr>
        <w:t xml:space="preserve">(обязательное). </w:t>
      </w:r>
      <w:r>
        <w:t xml:space="preserve">Реквизиты грузополучателей.</w:t>
      </w:r>
      <w:r/>
    </w:p>
    <w:p>
      <w:pPr>
        <w:jc w:val="both"/>
        <w:tabs>
          <w:tab w:val="left" w:pos="993" w:leader="none"/>
        </w:tabs>
        <w:rPr>
          <w:highlight w:val="none"/>
        </w:rPr>
      </w:pPr>
      <w:r>
        <w:rPr>
          <w:rStyle w:val="1002"/>
          <w:rFonts w:ascii="Times New Roman" w:hAnsi="Times New Roman" w:cs="Times New Roman"/>
          <w:b/>
          <w:i/>
          <w:color w:val="auto"/>
        </w:rPr>
        <w:t xml:space="preserve">Приложение 4 </w:t>
      </w:r>
      <w:r>
        <w:rPr>
          <w:rStyle w:val="1002"/>
          <w:rFonts w:ascii="Times New Roman" w:hAnsi="Times New Roman" w:cs="Times New Roman"/>
          <w:i/>
          <w:color w:val="auto"/>
        </w:rPr>
        <w:t xml:space="preserve">(обязательное). </w:t>
      </w:r>
      <w:r>
        <w:t xml:space="preserve">Предложение о цене договора</w:t>
      </w:r>
      <w:r>
        <w:t xml:space="preserve"> </w:t>
      </w:r>
      <w:r>
        <w:rPr>
          <w:rFonts w:eastAsia="Calibri"/>
          <w:lang w:eastAsia="en-US"/>
        </w:rPr>
        <w:t xml:space="preserve">в формате </w:t>
      </w:r>
      <w:r>
        <w:rPr>
          <w:rFonts w:eastAsia="Calibri"/>
          <w:lang w:val="en-US" w:eastAsia="en-US"/>
        </w:rPr>
        <w:t xml:space="preserve">excel</w:t>
      </w:r>
      <w:r>
        <w:t xml:space="preserve"> (форма).</w:t>
      </w:r>
      <w:r>
        <w:rPr>
          <w:i/>
        </w:rPr>
        <w:t xml:space="preserve"> </w:t>
      </w:r>
      <w:bookmarkStart w:id="4" w:name="_Toc536483690"/>
      <w:r/>
      <w:bookmarkStart w:id="5" w:name="_Toc536628829"/>
      <w:r/>
      <w:bookmarkStart w:id="6" w:name="_Toc2757058"/>
      <w:r/>
      <w:bookmarkEnd w:id="4"/>
      <w:r/>
      <w:bookmarkEnd w:id="5"/>
      <w:r/>
      <w:bookmarkEnd w:id="6"/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bCs w:val="0"/>
          <w:i w:val="0"/>
        </w:rPr>
      </w:pPr>
      <w:r>
        <w:rPr>
          <w:highlight w:val="none"/>
        </w:rPr>
      </w:r>
      <w:r>
        <w:rPr>
          <w:rStyle w:val="1002"/>
          <w:rFonts w:ascii="Times New Roman" w:hAnsi="Times New Roman" w:cs="Times New Roman"/>
          <w:b/>
          <w:i/>
          <w:color w:val="auto"/>
        </w:rPr>
        <w:t xml:space="preserve">Приложение </w:t>
      </w:r>
      <w:r>
        <w:rPr>
          <w:rStyle w:val="1002"/>
          <w:rFonts w:ascii="Times New Roman" w:hAnsi="Times New Roman" w:cs="Times New Roman"/>
          <w:b/>
          <w:i/>
          <w:color w:val="auto"/>
        </w:rPr>
        <w:t xml:space="preserve">5</w:t>
      </w:r>
      <w:r>
        <w:rPr>
          <w:rStyle w:val="1002"/>
          <w:rFonts w:ascii="Times New Roman" w:hAnsi="Times New Roman" w:cs="Times New Roman"/>
          <w:b/>
          <w:i/>
          <w:color w:val="auto"/>
        </w:rPr>
        <w:t xml:space="preserve"> </w:t>
      </w:r>
      <w:r>
        <w:rPr>
          <w:rStyle w:val="1002"/>
          <w:rFonts w:ascii="Times New Roman" w:hAnsi="Times New Roman" w:cs="Times New Roman"/>
          <w:i/>
          <w:color w:val="auto"/>
        </w:rPr>
        <w:t xml:space="preserve">(обязательное)</w:t>
      </w:r>
      <w:r>
        <w:rPr>
          <w:rStyle w:val="1002"/>
          <w:rFonts w:ascii="Times New Roman" w:hAnsi="Times New Roman" w:cs="Times New Roman"/>
          <w:i/>
          <w:color w:val="auto"/>
        </w:rPr>
        <w:t xml:space="preserve">. </w:t>
      </w:r>
      <w:r>
        <w:rPr>
          <w:rStyle w:val="1002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Ориентировочное количество продукции.</w:t>
      </w:r>
      <w:r>
        <w:rPr>
          <w:bCs w:val="0"/>
          <w:i w:val="0"/>
        </w:rPr>
      </w:r>
      <w:r>
        <w:rPr>
          <w:bCs w:val="0"/>
          <w:i w:val="0"/>
        </w:rPr>
      </w:r>
    </w:p>
    <w:p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right="76"/>
        <w:jc w:val="both"/>
        <w:rPr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</w:pPr>
      <w:r/>
      <w:r/>
    </w:p>
    <w:p>
      <w:pPr>
        <w:jc w:val="left"/>
        <w:rPr>
          <w:b w:val="0"/>
          <w:bCs w:val="0"/>
          <w:highlight w:val="none"/>
        </w:rPr>
      </w:pPr>
      <w:r>
        <w:rPr>
          <w:highlight w:val="none"/>
        </w:rPr>
        <w:t xml:space="preserve">Техническое задани</w:t>
      </w:r>
      <w:r>
        <w:rPr>
          <w:b w:val="0"/>
          <w:bCs w:val="0"/>
          <w:highlight w:val="none"/>
        </w:rPr>
        <w:t xml:space="preserve">е 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highlight w:val="none"/>
        </w:rPr>
      </w:pPr>
      <w:r>
        <w:rPr>
          <w:b w:val="0"/>
          <w:bCs w:val="0"/>
          <w:highlight w:val="none"/>
        </w:rPr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Главный эксперт ГХО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Кушнарёв А.Г.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ind w:right="76"/>
        <w:jc w:val="both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left="5387"/>
        <w:pageBreakBefore/>
        <w:rPr>
          <w:bCs/>
        </w:rPr>
      </w:pPr>
      <w:r>
        <w:t xml:space="preserve">Приложение 1 к Техническому заданию (обязательное)</w:t>
      </w:r>
      <w:r>
        <w:rPr>
          <w:bCs/>
        </w:rPr>
      </w:r>
      <w:r>
        <w:rPr>
          <w:bCs/>
        </w:rPr>
      </w:r>
    </w:p>
    <w:p>
      <w:pPr>
        <w:pStyle w:val="10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на поставку </w:t>
      </w:r>
      <w:r>
        <w:rPr>
          <w:sz w:val="28"/>
          <w:szCs w:val="28"/>
        </w:rPr>
        <w:t xml:space="preserve">питьевой воды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(указывается предмет закупки)</w:t>
      </w:r>
      <w:bookmarkStart w:id="7" w:name="l152"/>
      <w:r/>
      <w:bookmarkEnd w:id="7"/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/>
            <w:bookmarkStart w:id="8" w:name="l55"/>
            <w:r/>
            <w:bookmarkEnd w:id="8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265 077,52</w:t>
            </w:r>
            <w:r>
              <w:rPr>
                <w:sz w:val="28"/>
                <w:szCs w:val="28"/>
              </w:rPr>
              <w:t xml:space="preserve"> руб. с НДС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Рыночных цен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ЕСЗ (Единый Стандарт закупок)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</w:t>
            </w:r>
            <w:r>
              <w:rPr>
                <w:sz w:val="28"/>
                <w:szCs w:val="28"/>
              </w:rPr>
              <w:t xml:space="preserve">1.1 к ТЗ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pPr>
        <w:ind w:right="7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7</w:t>
    </w:r>
    <w:r>
      <w:fldChar w:fldCharType="end"/>
    </w:r>
    <w:r/>
  </w:p>
  <w:p>
    <w:pPr>
      <w:pStyle w:val="99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7"/>
      <w:rPr>
        <w:rStyle w:val="999"/>
      </w:rPr>
      <w:framePr w:wrap="around" w:vAnchor="text" w:hAnchor="margin" w:xAlign="center" w:y="1"/>
    </w:pPr>
    <w:r>
      <w:rPr>
        <w:rStyle w:val="999"/>
      </w:rPr>
      <w:fldChar w:fldCharType="begin"/>
    </w:r>
    <w:r>
      <w:rPr>
        <w:rStyle w:val="999"/>
      </w:rPr>
      <w:instrText xml:space="preserve">PAGE  </w:instrText>
    </w:r>
    <w:r>
      <w:rPr>
        <w:rStyle w:val="999"/>
      </w:rPr>
      <w:fldChar w:fldCharType="end"/>
    </w:r>
    <w:r>
      <w:rPr>
        <w:rStyle w:val="999"/>
      </w:rPr>
    </w:r>
    <w:r>
      <w:rPr>
        <w:rStyle w:val="999"/>
      </w:rPr>
    </w:r>
  </w:p>
  <w:p>
    <w:pPr>
      <w:pStyle w:val="99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15"/>
        <w:jc w:val="both"/>
      </w:pPr>
      <w:r>
        <w:rPr>
          <w:rStyle w:val="1017"/>
        </w:rPr>
        <w:footnoteRef/>
      </w:r>
      <w:r>
        <w:t xml:space="preserve"> В</w:t>
      </w:r>
      <w:r>
        <w:t xml:space="preserve"> случае заключения договора по результатам закупки с субъектом малого и среднего предпринимательства максимальный срок оплаты должен составлять не более 7 (семи) рабочих дней.</w:t>
      </w:r>
      <w:r/>
    </w:p>
    <w:p>
      <w:pPr>
        <w:pStyle w:val="1015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06"/>
    <w:lvl w:ilvl="0">
      <w:start w:val="1"/>
      <w:numFmt w:val="decimal"/>
      <w:pStyle w:val="100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04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05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07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08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09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10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0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03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04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05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07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08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09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10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03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04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32"/>
  </w:num>
  <w:num w:numId="36">
    <w:abstractNumId w:val="33"/>
  </w:num>
  <w:num w:numId="37">
    <w:abstractNumId w:val="34"/>
  </w:num>
  <w:num w:numId="38">
    <w:abstractNumId w:val="35"/>
  </w:num>
  <w:num w:numId="39">
    <w:abstractNumId w:val="36"/>
  </w:num>
  <w:num w:numId="40">
    <w:abstractNumId w:val="37"/>
  </w:num>
  <w:num w:numId="41">
    <w:abstractNumId w:val="38"/>
  </w:num>
  <w:num w:numId="42">
    <w:abstractNumId w:val="39"/>
  </w:num>
  <w:num w:numId="43">
    <w:abstractNumId w:val="40"/>
  </w:num>
  <w:num w:numId="44">
    <w:abstractNumId w:val="41"/>
  </w:num>
  <w:num w:numId="45">
    <w:abstractNumId w:val="42"/>
  </w:num>
  <w:num w:numId="46">
    <w:abstractNumId w:val="43"/>
  </w:num>
  <w:num w:numId="47">
    <w:abstractNumId w:val="44"/>
  </w:num>
  <w:num w:numId="48">
    <w:abstractNumId w:val="45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basedOn w:val="974"/>
    <w:link w:val="970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basedOn w:val="974"/>
    <w:link w:val="971"/>
    <w:uiPriority w:val="9"/>
    <w:rPr>
      <w:rFonts w:ascii="Arial" w:hAnsi="Arial" w:eastAsia="Arial" w:cs="Arial"/>
      <w:sz w:val="34"/>
    </w:rPr>
  </w:style>
  <w:style w:type="character" w:styleId="804">
    <w:name w:val="Heading 3 Char"/>
    <w:basedOn w:val="974"/>
    <w:link w:val="972"/>
    <w:uiPriority w:val="9"/>
    <w:rPr>
      <w:rFonts w:ascii="Arial" w:hAnsi="Arial" w:eastAsia="Arial" w:cs="Arial"/>
      <w:sz w:val="30"/>
      <w:szCs w:val="30"/>
    </w:rPr>
  </w:style>
  <w:style w:type="paragraph" w:styleId="805">
    <w:name w:val="Heading 4"/>
    <w:basedOn w:val="969"/>
    <w:next w:val="969"/>
    <w:link w:val="8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6">
    <w:name w:val="Heading 4 Char"/>
    <w:basedOn w:val="974"/>
    <w:link w:val="805"/>
    <w:uiPriority w:val="9"/>
    <w:rPr>
      <w:rFonts w:ascii="Arial" w:hAnsi="Arial" w:eastAsia="Arial" w:cs="Arial"/>
      <w:b/>
      <w:bCs/>
      <w:sz w:val="26"/>
      <w:szCs w:val="26"/>
    </w:rPr>
  </w:style>
  <w:style w:type="character" w:styleId="807">
    <w:name w:val="Heading 5 Char"/>
    <w:basedOn w:val="974"/>
    <w:link w:val="973"/>
    <w:uiPriority w:val="9"/>
    <w:rPr>
      <w:rFonts w:ascii="Arial" w:hAnsi="Arial" w:eastAsia="Arial" w:cs="Arial"/>
      <w:b/>
      <w:bCs/>
      <w:sz w:val="24"/>
      <w:szCs w:val="24"/>
    </w:rPr>
  </w:style>
  <w:style w:type="paragraph" w:styleId="808">
    <w:name w:val="Heading 6"/>
    <w:basedOn w:val="969"/>
    <w:next w:val="969"/>
    <w:link w:val="8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9">
    <w:name w:val="Heading 6 Char"/>
    <w:basedOn w:val="974"/>
    <w:link w:val="808"/>
    <w:uiPriority w:val="9"/>
    <w:rPr>
      <w:rFonts w:ascii="Arial" w:hAnsi="Arial" w:eastAsia="Arial" w:cs="Arial"/>
      <w:b/>
      <w:bCs/>
      <w:sz w:val="22"/>
      <w:szCs w:val="22"/>
    </w:rPr>
  </w:style>
  <w:style w:type="paragraph" w:styleId="810">
    <w:name w:val="Heading 7"/>
    <w:basedOn w:val="969"/>
    <w:next w:val="969"/>
    <w:link w:val="8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1">
    <w:name w:val="Heading 7 Char"/>
    <w:basedOn w:val="974"/>
    <w:link w:val="8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2">
    <w:name w:val="Heading 8"/>
    <w:basedOn w:val="969"/>
    <w:next w:val="969"/>
    <w:link w:val="8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3">
    <w:name w:val="Heading 8 Char"/>
    <w:basedOn w:val="974"/>
    <w:link w:val="812"/>
    <w:uiPriority w:val="9"/>
    <w:rPr>
      <w:rFonts w:ascii="Arial" w:hAnsi="Arial" w:eastAsia="Arial" w:cs="Arial"/>
      <w:i/>
      <w:iCs/>
      <w:sz w:val="22"/>
      <w:szCs w:val="22"/>
    </w:rPr>
  </w:style>
  <w:style w:type="paragraph" w:styleId="814">
    <w:name w:val="Heading 9"/>
    <w:basedOn w:val="969"/>
    <w:next w:val="969"/>
    <w:link w:val="8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5">
    <w:name w:val="Heading 9 Char"/>
    <w:basedOn w:val="974"/>
    <w:link w:val="814"/>
    <w:uiPriority w:val="9"/>
    <w:rPr>
      <w:rFonts w:ascii="Arial" w:hAnsi="Arial" w:eastAsia="Arial" w:cs="Arial"/>
      <w:i/>
      <w:iCs/>
      <w:sz w:val="21"/>
      <w:szCs w:val="21"/>
    </w:rPr>
  </w:style>
  <w:style w:type="character" w:styleId="816">
    <w:name w:val="Title Char"/>
    <w:basedOn w:val="974"/>
    <w:link w:val="981"/>
    <w:uiPriority w:val="10"/>
    <w:rPr>
      <w:sz w:val="48"/>
      <w:szCs w:val="48"/>
    </w:rPr>
  </w:style>
  <w:style w:type="paragraph" w:styleId="817">
    <w:name w:val="Subtitle"/>
    <w:basedOn w:val="969"/>
    <w:next w:val="969"/>
    <w:link w:val="818"/>
    <w:uiPriority w:val="11"/>
    <w:qFormat/>
    <w:pPr>
      <w:spacing w:before="200" w:after="200"/>
    </w:pPr>
    <w:rPr>
      <w:sz w:val="24"/>
      <w:szCs w:val="24"/>
    </w:rPr>
  </w:style>
  <w:style w:type="character" w:styleId="818">
    <w:name w:val="Subtitle Char"/>
    <w:basedOn w:val="974"/>
    <w:link w:val="817"/>
    <w:uiPriority w:val="11"/>
    <w:rPr>
      <w:sz w:val="24"/>
      <w:szCs w:val="24"/>
    </w:rPr>
  </w:style>
  <w:style w:type="paragraph" w:styleId="819">
    <w:name w:val="Quote"/>
    <w:basedOn w:val="969"/>
    <w:next w:val="969"/>
    <w:link w:val="820"/>
    <w:uiPriority w:val="29"/>
    <w:qFormat/>
    <w:pPr>
      <w:ind w:left="720" w:right="720"/>
    </w:pPr>
    <w:rPr>
      <w:i/>
    </w:rPr>
  </w:style>
  <w:style w:type="character" w:styleId="820">
    <w:name w:val="Quote Char"/>
    <w:link w:val="819"/>
    <w:uiPriority w:val="29"/>
    <w:rPr>
      <w:i/>
    </w:rPr>
  </w:style>
  <w:style w:type="paragraph" w:styleId="821">
    <w:name w:val="Intense Quote"/>
    <w:basedOn w:val="969"/>
    <w:next w:val="969"/>
    <w:link w:val="8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2">
    <w:name w:val="Intense Quote Char"/>
    <w:link w:val="821"/>
    <w:uiPriority w:val="30"/>
    <w:rPr>
      <w:i/>
    </w:rPr>
  </w:style>
  <w:style w:type="paragraph" w:styleId="823">
    <w:name w:val="Header"/>
    <w:basedOn w:val="969"/>
    <w:link w:val="8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4">
    <w:name w:val="Header Char"/>
    <w:basedOn w:val="974"/>
    <w:link w:val="823"/>
    <w:uiPriority w:val="99"/>
  </w:style>
  <w:style w:type="character" w:styleId="825">
    <w:name w:val="Footer Char"/>
    <w:basedOn w:val="974"/>
    <w:link w:val="997"/>
    <w:uiPriority w:val="99"/>
  </w:style>
  <w:style w:type="paragraph" w:styleId="826">
    <w:name w:val="Caption"/>
    <w:basedOn w:val="969"/>
    <w:next w:val="969"/>
    <w:link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7">
    <w:name w:val="Caption Char"/>
    <w:basedOn w:val="974"/>
    <w:link w:val="826"/>
    <w:uiPriority w:val="35"/>
    <w:rPr>
      <w:b/>
      <w:bCs/>
      <w:color w:val="4f81bd" w:themeColor="accent1"/>
      <w:sz w:val="18"/>
      <w:szCs w:val="18"/>
    </w:rPr>
  </w:style>
  <w:style w:type="table" w:styleId="828">
    <w:name w:val="Table Grid"/>
    <w:basedOn w:val="97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9">
    <w:name w:val="Table Grid Light"/>
    <w:basedOn w:val="9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1015"/>
    <w:uiPriority w:val="99"/>
    <w:rPr>
      <w:sz w:val="18"/>
    </w:rPr>
  </w:style>
  <w:style w:type="paragraph" w:styleId="955">
    <w:name w:val="endnote text"/>
    <w:basedOn w:val="969"/>
    <w:link w:val="956"/>
    <w:uiPriority w:val="99"/>
    <w:semiHidden/>
    <w:unhideWhenUsed/>
    <w:pPr>
      <w:spacing w:after="0" w:line="240" w:lineRule="auto"/>
    </w:pPr>
    <w:rPr>
      <w:sz w:val="20"/>
    </w:rPr>
  </w:style>
  <w:style w:type="character" w:styleId="956">
    <w:name w:val="Endnote Text Char"/>
    <w:link w:val="955"/>
    <w:uiPriority w:val="99"/>
    <w:rPr>
      <w:sz w:val="20"/>
    </w:rPr>
  </w:style>
  <w:style w:type="character" w:styleId="957">
    <w:name w:val="endnote reference"/>
    <w:basedOn w:val="974"/>
    <w:uiPriority w:val="99"/>
    <w:semiHidden/>
    <w:unhideWhenUsed/>
    <w:rPr>
      <w:vertAlign w:val="superscript"/>
    </w:rPr>
  </w:style>
  <w:style w:type="paragraph" w:styleId="958">
    <w:name w:val="toc 1"/>
    <w:basedOn w:val="969"/>
    <w:next w:val="969"/>
    <w:uiPriority w:val="39"/>
    <w:unhideWhenUsed/>
    <w:pPr>
      <w:ind w:left="0" w:right="0" w:firstLine="0"/>
      <w:spacing w:after="57"/>
    </w:pPr>
  </w:style>
  <w:style w:type="paragraph" w:styleId="959">
    <w:name w:val="toc 2"/>
    <w:basedOn w:val="969"/>
    <w:next w:val="969"/>
    <w:uiPriority w:val="39"/>
    <w:unhideWhenUsed/>
    <w:pPr>
      <w:ind w:left="283" w:right="0" w:firstLine="0"/>
      <w:spacing w:after="57"/>
    </w:pPr>
  </w:style>
  <w:style w:type="paragraph" w:styleId="960">
    <w:name w:val="toc 3"/>
    <w:basedOn w:val="969"/>
    <w:next w:val="969"/>
    <w:uiPriority w:val="39"/>
    <w:unhideWhenUsed/>
    <w:pPr>
      <w:ind w:left="567" w:right="0" w:firstLine="0"/>
      <w:spacing w:after="57"/>
    </w:pPr>
  </w:style>
  <w:style w:type="paragraph" w:styleId="961">
    <w:name w:val="toc 4"/>
    <w:basedOn w:val="969"/>
    <w:next w:val="969"/>
    <w:uiPriority w:val="39"/>
    <w:unhideWhenUsed/>
    <w:pPr>
      <w:ind w:left="850" w:right="0" w:firstLine="0"/>
      <w:spacing w:after="57"/>
    </w:pPr>
  </w:style>
  <w:style w:type="paragraph" w:styleId="962">
    <w:name w:val="toc 5"/>
    <w:basedOn w:val="969"/>
    <w:next w:val="969"/>
    <w:uiPriority w:val="39"/>
    <w:unhideWhenUsed/>
    <w:pPr>
      <w:ind w:left="1134" w:right="0" w:firstLine="0"/>
      <w:spacing w:after="57"/>
    </w:pPr>
  </w:style>
  <w:style w:type="paragraph" w:styleId="963">
    <w:name w:val="toc 6"/>
    <w:basedOn w:val="969"/>
    <w:next w:val="969"/>
    <w:uiPriority w:val="39"/>
    <w:unhideWhenUsed/>
    <w:pPr>
      <w:ind w:left="1417" w:right="0" w:firstLine="0"/>
      <w:spacing w:after="57"/>
    </w:pPr>
  </w:style>
  <w:style w:type="paragraph" w:styleId="964">
    <w:name w:val="toc 7"/>
    <w:basedOn w:val="969"/>
    <w:next w:val="969"/>
    <w:uiPriority w:val="39"/>
    <w:unhideWhenUsed/>
    <w:pPr>
      <w:ind w:left="1701" w:right="0" w:firstLine="0"/>
      <w:spacing w:after="57"/>
    </w:pPr>
  </w:style>
  <w:style w:type="paragraph" w:styleId="965">
    <w:name w:val="toc 8"/>
    <w:basedOn w:val="969"/>
    <w:next w:val="969"/>
    <w:uiPriority w:val="39"/>
    <w:unhideWhenUsed/>
    <w:pPr>
      <w:ind w:left="1984" w:right="0" w:firstLine="0"/>
      <w:spacing w:after="57"/>
    </w:pPr>
  </w:style>
  <w:style w:type="paragraph" w:styleId="966">
    <w:name w:val="toc 9"/>
    <w:basedOn w:val="969"/>
    <w:next w:val="969"/>
    <w:uiPriority w:val="39"/>
    <w:unhideWhenUsed/>
    <w:pPr>
      <w:ind w:left="2268" w:right="0" w:firstLine="0"/>
      <w:spacing w:after="57"/>
    </w:pPr>
  </w:style>
  <w:style w:type="paragraph" w:styleId="967">
    <w:name w:val="TOC Heading"/>
    <w:uiPriority w:val="39"/>
    <w:unhideWhenUsed/>
  </w:style>
  <w:style w:type="paragraph" w:styleId="968">
    <w:name w:val="table of figures"/>
    <w:basedOn w:val="969"/>
    <w:next w:val="969"/>
    <w:uiPriority w:val="99"/>
    <w:unhideWhenUsed/>
    <w:pPr>
      <w:spacing w:after="0" w:afterAutospacing="0"/>
    </w:pPr>
  </w:style>
  <w:style w:type="paragraph" w:styleId="96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>
    <w:name w:val="Heading 1"/>
    <w:basedOn w:val="969"/>
    <w:next w:val="969"/>
    <w:link w:val="977"/>
    <w:qFormat/>
    <w:pPr>
      <w:jc w:val="center"/>
      <w:keepNext/>
      <w:outlineLvl w:val="0"/>
    </w:pPr>
    <w:rPr>
      <w:sz w:val="28"/>
    </w:rPr>
  </w:style>
  <w:style w:type="paragraph" w:styleId="971">
    <w:name w:val="Heading 2"/>
    <w:basedOn w:val="969"/>
    <w:next w:val="969"/>
    <w:link w:val="1002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972">
    <w:name w:val="Heading 3"/>
    <w:basedOn w:val="969"/>
    <w:next w:val="969"/>
    <w:link w:val="1000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973">
    <w:name w:val="Heading 5"/>
    <w:basedOn w:val="969"/>
    <w:next w:val="969"/>
    <w:link w:val="995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974" w:default="1">
    <w:name w:val="Default Paragraph Font"/>
    <w:uiPriority w:val="1"/>
    <w:semiHidden/>
    <w:unhideWhenUsed/>
  </w:style>
  <w:style w:type="table" w:styleId="9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6" w:default="1">
    <w:name w:val="No List"/>
    <w:uiPriority w:val="99"/>
    <w:semiHidden/>
    <w:unhideWhenUsed/>
  </w:style>
  <w:style w:type="character" w:styleId="977" w:customStyle="1">
    <w:name w:val="Заголовок 1 Знак"/>
    <w:basedOn w:val="974"/>
    <w:link w:val="970"/>
    <w:rPr>
      <w:rFonts w:ascii="Times New Roman" w:hAnsi="Times New Roman" w:eastAsia="Times New Roman" w:cs="Times New Roman"/>
      <w:sz w:val="28"/>
      <w:szCs w:val="24"/>
    </w:rPr>
  </w:style>
  <w:style w:type="paragraph" w:styleId="978">
    <w:name w:val="Body Text Indent"/>
    <w:basedOn w:val="969"/>
    <w:link w:val="979"/>
    <w:uiPriority w:val="99"/>
    <w:pPr>
      <w:ind w:left="1083" w:firstLine="537"/>
      <w:jc w:val="both"/>
      <w:tabs>
        <w:tab w:val="num" w:pos="0" w:leader="none"/>
      </w:tabs>
    </w:pPr>
  </w:style>
  <w:style w:type="character" w:styleId="979" w:customStyle="1">
    <w:name w:val="Основной текст с отступом Знак"/>
    <w:basedOn w:val="974"/>
    <w:link w:val="978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80">
    <w:name w:val="Normal (Web)"/>
    <w:basedOn w:val="969"/>
    <w:uiPriority w:val="99"/>
    <w:pPr>
      <w:spacing w:before="100" w:beforeAutospacing="1" w:after="100" w:afterAutospacing="1"/>
    </w:pPr>
  </w:style>
  <w:style w:type="paragraph" w:styleId="981">
    <w:name w:val="Title"/>
    <w:basedOn w:val="969"/>
    <w:link w:val="982"/>
    <w:uiPriority w:val="10"/>
    <w:qFormat/>
    <w:pPr>
      <w:jc w:val="center"/>
    </w:pPr>
    <w:rPr>
      <w:sz w:val="28"/>
    </w:rPr>
  </w:style>
  <w:style w:type="character" w:styleId="982" w:customStyle="1">
    <w:name w:val="Заголовок Знак"/>
    <w:basedOn w:val="974"/>
    <w:link w:val="981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983" w:customStyle="1">
    <w:name w:val="Подподпункт"/>
    <w:basedOn w:val="969"/>
  </w:style>
  <w:style w:type="paragraph" w:styleId="984">
    <w:name w:val="Plain Text"/>
    <w:basedOn w:val="969"/>
    <w:link w:val="985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985" w:customStyle="1">
    <w:name w:val="Текст Знак"/>
    <w:basedOn w:val="974"/>
    <w:link w:val="984"/>
    <w:uiPriority w:val="99"/>
    <w:rPr>
      <w:rFonts w:ascii="Consolas" w:hAnsi="Consolas" w:eastAsia="Calibri" w:cs="Times New Roman"/>
      <w:sz w:val="21"/>
      <w:szCs w:val="21"/>
    </w:rPr>
  </w:style>
  <w:style w:type="character" w:styleId="986">
    <w:name w:val="annotation reference"/>
    <w:uiPriority w:val="99"/>
    <w:rPr>
      <w:sz w:val="16"/>
      <w:szCs w:val="16"/>
    </w:rPr>
  </w:style>
  <w:style w:type="paragraph" w:styleId="987">
    <w:name w:val="annotation text"/>
    <w:basedOn w:val="969"/>
    <w:link w:val="988"/>
    <w:uiPriority w:val="99"/>
    <w:rPr>
      <w:sz w:val="20"/>
      <w:szCs w:val="20"/>
    </w:rPr>
  </w:style>
  <w:style w:type="character" w:styleId="988" w:customStyle="1">
    <w:name w:val="Текст примечания Знак"/>
    <w:basedOn w:val="974"/>
    <w:link w:val="98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9">
    <w:name w:val="Balloon Text"/>
    <w:basedOn w:val="969"/>
    <w:link w:val="990"/>
    <w:uiPriority w:val="99"/>
    <w:semiHidden/>
    <w:unhideWhenUsed/>
    <w:rPr>
      <w:rFonts w:ascii="Tahoma" w:hAnsi="Tahoma" w:cs="Tahoma"/>
      <w:sz w:val="16"/>
      <w:szCs w:val="16"/>
    </w:rPr>
  </w:style>
  <w:style w:type="character" w:styleId="990" w:customStyle="1">
    <w:name w:val="Текст выноски Знак"/>
    <w:basedOn w:val="974"/>
    <w:link w:val="98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91">
    <w:name w:val="annotation subject"/>
    <w:basedOn w:val="987"/>
    <w:next w:val="987"/>
    <w:link w:val="992"/>
    <w:uiPriority w:val="99"/>
    <w:semiHidden/>
    <w:unhideWhenUsed/>
    <w:rPr>
      <w:b/>
      <w:bCs/>
    </w:rPr>
  </w:style>
  <w:style w:type="character" w:styleId="992" w:customStyle="1">
    <w:name w:val="Тема примечания Знак"/>
    <w:basedOn w:val="988"/>
    <w:link w:val="99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93">
    <w:name w:val="List Paragraph"/>
    <w:basedOn w:val="969"/>
    <w:link w:val="1001"/>
    <w:uiPriority w:val="34"/>
    <w:qFormat/>
    <w:pPr>
      <w:contextualSpacing/>
      <w:ind w:left="720"/>
    </w:pPr>
  </w:style>
  <w:style w:type="character" w:styleId="994">
    <w:name w:val="Hyperlink"/>
    <w:basedOn w:val="974"/>
    <w:uiPriority w:val="99"/>
    <w:unhideWhenUsed/>
    <w:rPr>
      <w:color w:val="0000ff"/>
      <w:u w:val="single"/>
    </w:rPr>
  </w:style>
  <w:style w:type="character" w:styleId="995" w:customStyle="1">
    <w:name w:val="Заголовок 5 Знак"/>
    <w:basedOn w:val="974"/>
    <w:link w:val="973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996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7">
    <w:name w:val="Footer"/>
    <w:basedOn w:val="969"/>
    <w:link w:val="998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98" w:customStyle="1">
    <w:name w:val="Нижний колонтитул Знак"/>
    <w:basedOn w:val="974"/>
    <w:link w:val="997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99">
    <w:name w:val="page number"/>
    <w:basedOn w:val="974"/>
  </w:style>
  <w:style w:type="character" w:styleId="1000" w:customStyle="1">
    <w:name w:val="Заголовок 3 Знак"/>
    <w:basedOn w:val="974"/>
    <w:link w:val="972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01" w:customStyle="1">
    <w:name w:val="Абзац списка Знак"/>
    <w:basedOn w:val="974"/>
    <w:link w:val="99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2" w:customStyle="1">
    <w:name w:val="Заголовок 2 Знак"/>
    <w:basedOn w:val="974"/>
    <w:link w:val="971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03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04" w:customStyle="1">
    <w:name w:val="2-з"/>
    <w:basedOn w:val="969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05" w:customStyle="1">
    <w:name w:val="3-з"/>
    <w:link w:val="1011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06" w:customStyle="1">
    <w:name w:val="нумерация"/>
    <w:uiPriority w:val="99"/>
    <w:pPr>
      <w:numPr>
        <w:ilvl w:val="0"/>
        <w:numId w:val="26"/>
      </w:numPr>
    </w:pPr>
  </w:style>
  <w:style w:type="paragraph" w:styleId="1007" w:customStyle="1">
    <w:name w:val="4-з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08" w:customStyle="1">
    <w:name w:val="5-з"/>
    <w:basedOn w:val="969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09" w:customStyle="1">
    <w:name w:val="6-буквы"/>
    <w:basedOn w:val="969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10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11" w:customStyle="1">
    <w:name w:val="3-з Знак"/>
    <w:basedOn w:val="974"/>
    <w:link w:val="1005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12" w:customStyle="1">
    <w:name w:val="Абзац списка1"/>
    <w:basedOn w:val="969"/>
    <w:link w:val="1013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13" w:customStyle="1">
    <w:name w:val="List Paragraph Char"/>
    <w:link w:val="1012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1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15">
    <w:name w:val="footnote text"/>
    <w:basedOn w:val="969"/>
    <w:link w:val="1016"/>
    <w:uiPriority w:val="99"/>
    <w:unhideWhenUsed/>
    <w:rPr>
      <w:sz w:val="20"/>
      <w:szCs w:val="20"/>
    </w:rPr>
  </w:style>
  <w:style w:type="character" w:styleId="1016" w:customStyle="1">
    <w:name w:val="Текст сноски Знак"/>
    <w:basedOn w:val="974"/>
    <w:link w:val="101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7">
    <w:name w:val="footnote reference"/>
    <w:basedOn w:val="974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041D0-7069-4593-8AF8-7B2C7B68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Bolotov-AS</cp:lastModifiedBy>
  <cp:revision>12</cp:revision>
  <dcterms:created xsi:type="dcterms:W3CDTF">2025-09-08T04:58:00Z</dcterms:created>
  <dcterms:modified xsi:type="dcterms:W3CDTF">2026-08-20T06:12:35Z</dcterms:modified>
</cp:coreProperties>
</file>